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44" w:rsidRPr="001E3FD0" w:rsidRDefault="000C7144">
      <w:pPr>
        <w:tabs>
          <w:tab w:val="left" w:pos="1725"/>
        </w:tabs>
        <w:rPr>
          <w:sz w:val="24"/>
          <w:szCs w:val="24"/>
        </w:rPr>
      </w:pPr>
    </w:p>
    <w:p w:rsidR="000C7144" w:rsidRPr="001E3FD0" w:rsidRDefault="003F6C58" w:rsidP="00257BAF">
      <w:pPr>
        <w:jc w:val="center"/>
        <w:rPr>
          <w:sz w:val="24"/>
          <w:szCs w:val="24"/>
        </w:rPr>
      </w:pPr>
      <w:r w:rsidRPr="001E3FD0">
        <w:rPr>
          <w:sz w:val="24"/>
          <w:szCs w:val="24"/>
        </w:rPr>
        <w:t xml:space="preserve">Conseil </w:t>
      </w:r>
      <w:r w:rsidR="00257BAF" w:rsidRPr="001E3FD0">
        <w:rPr>
          <w:sz w:val="24"/>
          <w:szCs w:val="24"/>
        </w:rPr>
        <w:t>du 20</w:t>
      </w:r>
      <w:r w:rsidR="00257BAF" w:rsidRPr="001E3FD0">
        <w:rPr>
          <w:sz w:val="24"/>
          <w:szCs w:val="24"/>
          <w:vertAlign w:val="superscript"/>
        </w:rPr>
        <w:t>e</w:t>
      </w:r>
      <w:r w:rsidR="00686215" w:rsidRPr="001E3FD0">
        <w:rPr>
          <w:sz w:val="24"/>
          <w:szCs w:val="24"/>
        </w:rPr>
        <w:t xml:space="preserve"> arrondissement du 27</w:t>
      </w:r>
      <w:r w:rsidR="00257BAF" w:rsidRPr="001E3FD0">
        <w:rPr>
          <w:sz w:val="24"/>
          <w:szCs w:val="24"/>
        </w:rPr>
        <w:t xml:space="preserve"> novembre 2018</w:t>
      </w:r>
    </w:p>
    <w:p w:rsidR="000C7144" w:rsidRPr="001E3FD0" w:rsidRDefault="000C7144">
      <w:pPr>
        <w:jc w:val="center"/>
        <w:rPr>
          <w:b/>
          <w:sz w:val="28"/>
          <w:szCs w:val="28"/>
        </w:rPr>
      </w:pPr>
    </w:p>
    <w:p w:rsidR="000C7144" w:rsidRPr="001E3FD0" w:rsidRDefault="003F6C58">
      <w:pPr>
        <w:jc w:val="center"/>
      </w:pPr>
      <w:r w:rsidRPr="001E3FD0">
        <w:rPr>
          <w:b/>
          <w:sz w:val="28"/>
          <w:szCs w:val="28"/>
        </w:rPr>
        <w:t xml:space="preserve">Vœu </w:t>
      </w:r>
      <w:r w:rsidR="00686215" w:rsidRPr="001E3FD0">
        <w:rPr>
          <w:b/>
          <w:sz w:val="28"/>
          <w:szCs w:val="28"/>
        </w:rPr>
        <w:t>r</w:t>
      </w:r>
      <w:r w:rsidR="00257BAF" w:rsidRPr="001E3FD0">
        <w:rPr>
          <w:b/>
          <w:sz w:val="28"/>
          <w:szCs w:val="28"/>
        </w:rPr>
        <w:t>elatif</w:t>
      </w:r>
      <w:r w:rsidRPr="001E3FD0">
        <w:rPr>
          <w:b/>
          <w:sz w:val="28"/>
          <w:szCs w:val="28"/>
        </w:rPr>
        <w:t xml:space="preserve"> </w:t>
      </w:r>
      <w:r w:rsidR="008D77EA" w:rsidRPr="001E3FD0">
        <w:rPr>
          <w:b/>
          <w:bCs/>
          <w:color w:val="000000"/>
          <w:sz w:val="28"/>
          <w:szCs w:val="28"/>
        </w:rPr>
        <w:t xml:space="preserve">au soutien </w:t>
      </w:r>
      <w:r w:rsidR="009220EF" w:rsidRPr="001E3FD0">
        <w:rPr>
          <w:b/>
          <w:bCs/>
          <w:color w:val="000000"/>
          <w:sz w:val="28"/>
          <w:szCs w:val="28"/>
        </w:rPr>
        <w:t xml:space="preserve">au Théâtre de </w:t>
      </w:r>
      <w:r w:rsidR="008A07AE" w:rsidRPr="001E3FD0">
        <w:rPr>
          <w:b/>
          <w:bCs/>
          <w:color w:val="000000"/>
          <w:sz w:val="28"/>
          <w:szCs w:val="28"/>
        </w:rPr>
        <w:t>Ménilmontant</w:t>
      </w:r>
      <w:r w:rsidR="009220EF" w:rsidRPr="001E3FD0">
        <w:rPr>
          <w:b/>
          <w:bCs/>
          <w:color w:val="000000"/>
          <w:sz w:val="28"/>
          <w:szCs w:val="28"/>
        </w:rPr>
        <w:t>, menacé de fermeture</w:t>
      </w:r>
    </w:p>
    <w:p w:rsidR="000C7144" w:rsidRPr="001E3FD0" w:rsidRDefault="000C7144">
      <w:pPr>
        <w:keepNext/>
        <w:numPr>
          <w:ilvl w:val="2"/>
          <w:numId w:val="1"/>
        </w:numPr>
        <w:pBdr>
          <w:top w:val="nil"/>
          <w:left w:val="nil"/>
          <w:bottom w:val="nil"/>
          <w:right w:val="nil"/>
          <w:between w:val="nil"/>
        </w:pBdr>
        <w:jc w:val="center"/>
        <w:rPr>
          <w:b/>
          <w:i/>
          <w:color w:val="000000"/>
          <w:sz w:val="24"/>
          <w:szCs w:val="24"/>
        </w:rPr>
      </w:pPr>
    </w:p>
    <w:p w:rsidR="00265923" w:rsidRPr="001E3FD0" w:rsidRDefault="00831F63" w:rsidP="001A3C13">
      <w:pPr>
        <w:keepNext/>
        <w:jc w:val="center"/>
        <w:rPr>
          <w:b/>
          <w:i/>
          <w:sz w:val="24"/>
          <w:szCs w:val="24"/>
        </w:rPr>
      </w:pPr>
      <w:r w:rsidRPr="001E3FD0">
        <w:rPr>
          <w:b/>
          <w:i/>
        </w:rPr>
        <w:t>Déposé</w:t>
      </w:r>
      <w:r w:rsidR="003F6C58" w:rsidRPr="001E3FD0">
        <w:rPr>
          <w:b/>
          <w:i/>
        </w:rPr>
        <w:t xml:space="preserve"> par </w:t>
      </w:r>
      <w:r w:rsidR="00257BAF" w:rsidRPr="001E3FD0">
        <w:rPr>
          <w:b/>
          <w:i/>
        </w:rPr>
        <w:t xml:space="preserve">Nathalie Maquoi </w:t>
      </w:r>
    </w:p>
    <w:p w:rsidR="00265923" w:rsidRPr="001E3FD0" w:rsidRDefault="00265923" w:rsidP="008D77EA">
      <w:pPr>
        <w:ind w:right="19"/>
        <w:jc w:val="both"/>
      </w:pPr>
    </w:p>
    <w:p w:rsidR="009A1DA1" w:rsidRDefault="009A1DA1" w:rsidP="000E565E">
      <w:pPr>
        <w:ind w:right="19"/>
        <w:jc w:val="both"/>
      </w:pPr>
    </w:p>
    <w:p w:rsidR="000E565E" w:rsidRDefault="000E565E" w:rsidP="00E80EEE">
      <w:pPr>
        <w:ind w:right="19"/>
        <w:jc w:val="both"/>
      </w:pPr>
      <w:r>
        <w:t>Considérant les difficultés que rencontre le Théâtre de Ménilmontant dans ses relations avec la structure propriétaire des locaux du théâtre, l’association Saint Gabriel Retrait ;</w:t>
      </w:r>
    </w:p>
    <w:p w:rsidR="000E565E" w:rsidRDefault="000E565E" w:rsidP="00E80EEE">
      <w:pPr>
        <w:ind w:right="19"/>
        <w:jc w:val="both"/>
      </w:pPr>
      <w:r>
        <w:t> </w:t>
      </w:r>
    </w:p>
    <w:p w:rsidR="000E565E" w:rsidRDefault="000E565E" w:rsidP="00E80EEE">
      <w:pPr>
        <w:ind w:right="19"/>
        <w:jc w:val="both"/>
      </w:pPr>
      <w:r>
        <w:t>Considérant la notification aux responsables du théâtre, par le père Federspiel, responsable de la communauté salésienne et de l’association Saint Gabriel Retrait, de la résiliation du commodat, lequel permettait au théâtre d’occuper les lieux à titre gratuit ;</w:t>
      </w:r>
    </w:p>
    <w:p w:rsidR="000E565E" w:rsidRDefault="000E565E" w:rsidP="00E80EEE">
      <w:pPr>
        <w:ind w:right="19"/>
        <w:jc w:val="both"/>
      </w:pPr>
      <w:r>
        <w:t> </w:t>
      </w:r>
    </w:p>
    <w:p w:rsidR="000E565E" w:rsidRDefault="000E565E" w:rsidP="00E80EEE">
      <w:pPr>
        <w:ind w:right="19"/>
        <w:jc w:val="both"/>
      </w:pPr>
      <w:r>
        <w:t>Considérant qu’il en découle une crainte de la fermeture du théâtre en avril 2019 ;</w:t>
      </w:r>
    </w:p>
    <w:p w:rsidR="000E565E" w:rsidRDefault="000E565E" w:rsidP="00E80EEE">
      <w:pPr>
        <w:ind w:right="19"/>
        <w:jc w:val="both"/>
      </w:pPr>
      <w:r>
        <w:rPr>
          <w:sz w:val="32"/>
          <w:szCs w:val="32"/>
        </w:rPr>
        <w:t> </w:t>
      </w:r>
    </w:p>
    <w:p w:rsidR="000E565E" w:rsidRDefault="000E565E" w:rsidP="00E80EEE">
      <w:pPr>
        <w:ind w:right="19"/>
        <w:jc w:val="both"/>
      </w:pPr>
      <w:r>
        <w:t>Considérant l’attachement des habitants du 20</w:t>
      </w:r>
      <w:r>
        <w:rPr>
          <w:vertAlign w:val="superscript"/>
        </w:rPr>
        <w:t>e</w:t>
      </w:r>
      <w:r>
        <w:t xml:space="preserve"> arrondissement ainsi que des amateurs de spectacle vivant au Théâtre de Ménilmontant ;</w:t>
      </w:r>
    </w:p>
    <w:p w:rsidR="000E565E" w:rsidRDefault="000E565E" w:rsidP="00E80EEE">
      <w:pPr>
        <w:ind w:right="19"/>
        <w:jc w:val="both"/>
      </w:pPr>
      <w:r>
        <w:t> </w:t>
      </w:r>
    </w:p>
    <w:p w:rsidR="000E565E" w:rsidRDefault="000E565E" w:rsidP="00E80EEE">
      <w:pPr>
        <w:ind w:right="19"/>
        <w:jc w:val="both"/>
      </w:pPr>
      <w:r>
        <w:t>Considérant l’importance de ce théâtre dans le 20</w:t>
      </w:r>
      <w:r>
        <w:rPr>
          <w:vertAlign w:val="superscript"/>
        </w:rPr>
        <w:t>e</w:t>
      </w:r>
      <w:r>
        <w:t xml:space="preserve"> arrondissement pour offrir aux jeunes compagnies un lieu de diffusion de leurs spectacles ;</w:t>
      </w:r>
    </w:p>
    <w:p w:rsidR="000E565E" w:rsidRDefault="000E565E" w:rsidP="00E80EEE">
      <w:pPr>
        <w:ind w:right="19"/>
        <w:jc w:val="both"/>
      </w:pPr>
      <w:r>
        <w:t> </w:t>
      </w:r>
    </w:p>
    <w:p w:rsidR="000E565E" w:rsidRDefault="000E565E" w:rsidP="00E80EEE">
      <w:pPr>
        <w:ind w:right="19"/>
        <w:jc w:val="both"/>
      </w:pPr>
      <w:r>
        <w:t>Considérant l’apport de cet équipement culturel au dynamisme de la rue du Retrait et de ce quartier du 20</w:t>
      </w:r>
      <w:r>
        <w:rPr>
          <w:vertAlign w:val="superscript"/>
        </w:rPr>
        <w:t>e</w:t>
      </w:r>
      <w:r>
        <w:t xml:space="preserve"> arrondissement ;</w:t>
      </w:r>
    </w:p>
    <w:p w:rsidR="000E565E" w:rsidRDefault="000E565E" w:rsidP="00E80EEE">
      <w:pPr>
        <w:ind w:right="19"/>
        <w:jc w:val="both"/>
      </w:pPr>
      <w:r>
        <w:t> </w:t>
      </w:r>
    </w:p>
    <w:p w:rsidR="000E565E" w:rsidRDefault="000E565E" w:rsidP="00E80EEE">
      <w:pPr>
        <w:ind w:right="19"/>
        <w:jc w:val="both"/>
      </w:pPr>
      <w:r>
        <w:t>Considérant l’ambition de la Ville de Paris de promouvoir et soutenir les lieux de diffusion de spectacle vivant ;</w:t>
      </w:r>
    </w:p>
    <w:p w:rsidR="000E565E" w:rsidRDefault="000E565E" w:rsidP="00E80EEE">
      <w:pPr>
        <w:ind w:right="19"/>
        <w:jc w:val="both"/>
      </w:pPr>
      <w:r>
        <w:t> </w:t>
      </w:r>
    </w:p>
    <w:p w:rsidR="000E565E" w:rsidRDefault="000E565E" w:rsidP="00E80EEE">
      <w:pPr>
        <w:ind w:right="19"/>
        <w:jc w:val="both"/>
      </w:pPr>
      <w:r>
        <w:t xml:space="preserve">Considérant l'article 2 de l'ordonnance du 13 octobre 1945 relative aux spectacles, laquelle prévoit </w:t>
      </w:r>
      <w:r w:rsidR="00C029F7">
        <w:t xml:space="preserve">               </w:t>
      </w:r>
      <w:r>
        <w:t>qu' « aucune salle de spectacles publics spécialement aménagée de façon permanente pour y donner des concerts, des spectacles de variétés ou des représentations d'art dramatique, lyrique ou chorégraphique, ne peut recevoir une autre affectation ni être démolie sans que le propriétaire ou l'usager ait obtenu l'autorisation du ministre chargé de la culture » et que nous ignorons ce que les propriétaires du lieux envisagent pour son avenir ;</w:t>
      </w:r>
    </w:p>
    <w:p w:rsidR="000E565E" w:rsidRDefault="000E565E" w:rsidP="00E80EEE">
      <w:pPr>
        <w:ind w:right="19"/>
        <w:jc w:val="both"/>
      </w:pPr>
      <w:r>
        <w:t> </w:t>
      </w:r>
    </w:p>
    <w:p w:rsidR="000E565E" w:rsidRDefault="000E565E" w:rsidP="00E80EEE">
      <w:pPr>
        <w:ind w:right="19"/>
        <w:jc w:val="both"/>
      </w:pPr>
      <w:r>
        <w:rPr>
          <w:b/>
          <w:bCs/>
        </w:rPr>
        <w:t> </w:t>
      </w:r>
    </w:p>
    <w:p w:rsidR="000E565E" w:rsidRPr="001A3C13" w:rsidRDefault="000E565E" w:rsidP="00E80EEE">
      <w:pPr>
        <w:keepNext/>
        <w:jc w:val="both"/>
      </w:pPr>
      <w:r w:rsidRPr="001A3C13">
        <w:rPr>
          <w:b/>
          <w:bCs/>
        </w:rPr>
        <w:t>Aussi, sur proposition de Nathalie Maquoi, le Conseil du 20</w:t>
      </w:r>
      <w:r w:rsidRPr="001A3C13">
        <w:rPr>
          <w:b/>
          <w:bCs/>
          <w:vertAlign w:val="superscript"/>
        </w:rPr>
        <w:t>e</w:t>
      </w:r>
      <w:r w:rsidRPr="001A3C13">
        <w:rPr>
          <w:b/>
          <w:bCs/>
        </w:rPr>
        <w:t xml:space="preserve"> arrondissement émet le vœu que :</w:t>
      </w:r>
    </w:p>
    <w:p w:rsidR="000E565E" w:rsidRDefault="000E565E" w:rsidP="00E80EEE">
      <w:pPr>
        <w:keepNext/>
        <w:jc w:val="both"/>
      </w:pPr>
      <w:r>
        <w:rPr>
          <w:b/>
          <w:bCs/>
          <w:color w:val="808080"/>
          <w:sz w:val="16"/>
          <w:szCs w:val="16"/>
        </w:rPr>
        <w:t> </w:t>
      </w:r>
    </w:p>
    <w:p w:rsidR="000E565E" w:rsidRPr="001A3C13" w:rsidRDefault="000E565E" w:rsidP="00E80EEE">
      <w:pPr>
        <w:numPr>
          <w:ilvl w:val="0"/>
          <w:numId w:val="5"/>
        </w:numPr>
        <w:ind w:right="19"/>
        <w:jc w:val="both"/>
        <w:rPr>
          <w:rFonts w:eastAsia="Times New Roman"/>
        </w:rPr>
      </w:pPr>
      <w:r>
        <w:rPr>
          <w:rFonts w:eastAsia="Times New Roman"/>
          <w:b/>
          <w:bCs/>
        </w:rPr>
        <w:t>que la Ville de Paris intervienne auprès de l’association Saint Gabriel Ratrait afin de marquer son attachement au Théâtre de Ménilmontant et rechercher une solution pour le maintien du théâtre ;</w:t>
      </w:r>
    </w:p>
    <w:p w:rsidR="001A3C13" w:rsidRPr="001A3C13" w:rsidRDefault="001A3C13" w:rsidP="00E80EEE">
      <w:pPr>
        <w:ind w:left="720" w:right="19"/>
        <w:jc w:val="both"/>
        <w:rPr>
          <w:rFonts w:eastAsia="Times New Roman"/>
        </w:rPr>
      </w:pPr>
    </w:p>
    <w:p w:rsidR="001A3C13" w:rsidRPr="001A3C13" w:rsidRDefault="001A3C13" w:rsidP="00E80EEE">
      <w:pPr>
        <w:pStyle w:val="Paragraphedeliste"/>
        <w:numPr>
          <w:ilvl w:val="0"/>
          <w:numId w:val="5"/>
        </w:numPr>
        <w:jc w:val="both"/>
        <w:rPr>
          <w:rFonts w:ascii="Arial" w:hAnsi="Arial" w:cs="Arial"/>
          <w:sz w:val="22"/>
          <w:szCs w:val="22"/>
        </w:rPr>
      </w:pPr>
      <w:r w:rsidRPr="001A3C13">
        <w:rPr>
          <w:rFonts w:ascii="Arial" w:hAnsi="Arial" w:cs="Arial"/>
          <w:b/>
          <w:sz w:val="22"/>
          <w:szCs w:val="22"/>
        </w:rPr>
        <w:t xml:space="preserve">Que la Ville de Paris interpelle le ministère de la Culture afin qu’il veille, conformément à l’article 2 de l’ordonnance </w:t>
      </w:r>
      <w:r w:rsidRPr="001A3C13">
        <w:rPr>
          <w:rStyle w:val="lev"/>
          <w:rFonts w:ascii="Arial" w:hAnsi="Arial" w:cs="Arial"/>
          <w:bCs w:val="0"/>
          <w:sz w:val="22"/>
          <w:szCs w:val="22"/>
        </w:rPr>
        <w:t>n° 45-2339 du 13 octobre 1945 relative aux spectacles, à ce que ce lieu reste affecté à une activité de spectacle vivant</w:t>
      </w:r>
      <w:r w:rsidR="00C029F7">
        <w:rPr>
          <w:rStyle w:val="lev"/>
          <w:rFonts w:ascii="Arial" w:hAnsi="Arial" w:cs="Arial"/>
          <w:bCs w:val="0"/>
          <w:sz w:val="22"/>
          <w:szCs w:val="22"/>
        </w:rPr>
        <w:t>.</w:t>
      </w:r>
    </w:p>
    <w:p w:rsidR="001A3C13" w:rsidRDefault="001A3C13" w:rsidP="001A3C13">
      <w:pPr>
        <w:ind w:left="720" w:right="19"/>
        <w:jc w:val="both"/>
        <w:rPr>
          <w:rFonts w:eastAsia="Times New Roman"/>
        </w:rPr>
      </w:pPr>
    </w:p>
    <w:p w:rsidR="00876CD5" w:rsidRPr="001E3FD0" w:rsidRDefault="00876CD5" w:rsidP="00876CD5">
      <w:pPr>
        <w:ind w:left="720" w:right="19"/>
        <w:jc w:val="both"/>
        <w:rPr>
          <w:bCs/>
          <w:sz w:val="10"/>
        </w:rPr>
      </w:pPr>
    </w:p>
    <w:p w:rsidR="000C7144" w:rsidRPr="001E3FD0" w:rsidRDefault="000C7144" w:rsidP="00876CD5">
      <w:pPr>
        <w:ind w:left="720" w:right="19"/>
        <w:jc w:val="both"/>
        <w:rPr>
          <w:b/>
          <w:bCs/>
        </w:rPr>
      </w:pPr>
    </w:p>
    <w:sectPr w:rsidR="000C7144" w:rsidRPr="001E3FD0" w:rsidSect="00876CD5">
      <w:footerReference w:type="even" r:id="rId7"/>
      <w:footerReference w:type="default" r:id="rId8"/>
      <w:headerReference w:type="first" r:id="rId9"/>
      <w:footerReference w:type="first" r:id="rId10"/>
      <w:pgSz w:w="11906" w:h="16838"/>
      <w:pgMar w:top="720" w:right="720" w:bottom="720" w:left="720" w:header="708" w:footer="12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08" w:rsidRDefault="00743808">
      <w:r>
        <w:separator/>
      </w:r>
    </w:p>
  </w:endnote>
  <w:endnote w:type="continuationSeparator" w:id="0">
    <w:p w:rsidR="00743808" w:rsidRDefault="00743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E8380D">
    <w:pPr>
      <w:pBdr>
        <w:top w:val="nil"/>
        <w:left w:val="nil"/>
        <w:bottom w:val="nil"/>
        <w:right w:val="nil"/>
        <w:between w:val="nil"/>
      </w:pBdr>
      <w:tabs>
        <w:tab w:val="center" w:pos="4536"/>
        <w:tab w:val="right" w:pos="9072"/>
      </w:tabs>
      <w:jc w:val="right"/>
      <w:rPr>
        <w:color w:val="000000"/>
      </w:rPr>
    </w:pPr>
    <w:r>
      <w:rPr>
        <w:color w:val="000000"/>
      </w:rPr>
      <w:fldChar w:fldCharType="begin"/>
    </w:r>
    <w:r w:rsidR="003F6C58">
      <w:rPr>
        <w:color w:val="000000"/>
      </w:rPr>
      <w:instrText>PAGE</w:instrText>
    </w:r>
    <w:r>
      <w:rPr>
        <w:color w:val="000000"/>
      </w:rPr>
      <w:fldChar w:fldCharType="end"/>
    </w:r>
  </w:p>
  <w:p w:rsidR="000C7144" w:rsidRDefault="000C7144">
    <w:pPr>
      <w:pBdr>
        <w:top w:val="nil"/>
        <w:left w:val="nil"/>
        <w:bottom w:val="nil"/>
        <w:right w:val="nil"/>
        <w:between w:val="nil"/>
      </w:pBdr>
      <w:tabs>
        <w:tab w:val="center" w:pos="4536"/>
        <w:tab w:val="right" w:pos="9072"/>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0C7144">
    <w:pPr>
      <w:pBdr>
        <w:top w:val="nil"/>
        <w:left w:val="nil"/>
        <w:bottom w:val="nil"/>
        <w:right w:val="nil"/>
        <w:between w:val="nil"/>
      </w:pBdr>
      <w:tabs>
        <w:tab w:val="center" w:pos="4536"/>
        <w:tab w:val="right" w:pos="9072"/>
      </w:tabs>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0C7144">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08" w:rsidRDefault="00743808">
      <w:r>
        <w:separator/>
      </w:r>
    </w:p>
  </w:footnote>
  <w:footnote w:type="continuationSeparator" w:id="0">
    <w:p w:rsidR="00743808" w:rsidRDefault="00743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0C7144">
    <w:pPr>
      <w:pBdr>
        <w:top w:val="nil"/>
        <w:left w:val="nil"/>
        <w:bottom w:val="nil"/>
        <w:right w:val="nil"/>
        <w:between w:val="nil"/>
      </w:pBdr>
      <w:tabs>
        <w:tab w:val="center" w:pos="4536"/>
        <w:tab w:val="right" w:pos="9072"/>
      </w:tabs>
      <w:rPr>
        <w:color w:val="000000"/>
      </w:rPr>
    </w:pPr>
  </w:p>
  <w:p w:rsidR="000C7144" w:rsidRDefault="000C7144">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FA8"/>
    <w:multiLevelType w:val="hybridMultilevel"/>
    <w:tmpl w:val="8278A27A"/>
    <w:lvl w:ilvl="0" w:tplc="3B6859C0">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FD4257"/>
    <w:multiLevelType w:val="multilevel"/>
    <w:tmpl w:val="9B24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09F416C"/>
    <w:multiLevelType w:val="multilevel"/>
    <w:tmpl w:val="1D16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F8E38A1"/>
    <w:multiLevelType w:val="multilevel"/>
    <w:tmpl w:val="8C80A566"/>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start w:val="1"/>
      <w:numFmt w:val="upperRoman"/>
      <w:lvlText w:val="%5."/>
      <w:lvlJc w:val="left"/>
      <w:pPr>
        <w:ind w:left="454" w:hanging="454"/>
      </w:pPr>
      <w:rPr>
        <w:vertAlign w:val="baseline"/>
      </w:rPr>
    </w:lvl>
    <w:lvl w:ilvl="5">
      <w:start w:val="1"/>
      <w:numFmt w:val="decimal"/>
      <w:lvlText w:val="%6."/>
      <w:lvlJc w:val="left"/>
      <w:pPr>
        <w:ind w:left="397" w:hanging="397"/>
      </w:pPr>
      <w:rPr>
        <w:vertAlign w:val="baseline"/>
      </w:rPr>
    </w:lvl>
    <w:lvl w:ilvl="6">
      <w:start w:val="1"/>
      <w:numFmt w:val="lowerLetter"/>
      <w:lvlText w:val="%7."/>
      <w:lvlJc w:val="left"/>
      <w:pPr>
        <w:ind w:left="357" w:hanging="357"/>
      </w:pPr>
      <w:rPr>
        <w:vertAlign w:val="baseline"/>
      </w:rPr>
    </w:lvl>
    <w:lvl w:ilvl="7">
      <w:numFmt w:val="decimal"/>
      <w:lvlText w:val=""/>
      <w:lvlJc w:val="left"/>
      <w:pPr>
        <w:ind w:left="0" w:firstLine="0"/>
      </w:pPr>
      <w:rPr>
        <w:vertAlign w:val="baseline"/>
      </w:rPr>
    </w:lvl>
    <w:lvl w:ilvl="8">
      <w:numFmt w:val="decimal"/>
      <w:lvlText w:val=""/>
      <w:lvlJc w:val="left"/>
      <w:pPr>
        <w:ind w:left="-32767" w:firstLine="32767"/>
      </w:pPr>
      <w:rPr>
        <w:vertAlign w:val="baseline"/>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C7144"/>
    <w:rsid w:val="0001010A"/>
    <w:rsid w:val="000C7144"/>
    <w:rsid w:val="000E565E"/>
    <w:rsid w:val="00120B88"/>
    <w:rsid w:val="0017670D"/>
    <w:rsid w:val="001A3C13"/>
    <w:rsid w:val="001A595B"/>
    <w:rsid w:val="001E3FD0"/>
    <w:rsid w:val="001F3E7E"/>
    <w:rsid w:val="001F6ADC"/>
    <w:rsid w:val="0021375F"/>
    <w:rsid w:val="00257BAF"/>
    <w:rsid w:val="002651BB"/>
    <w:rsid w:val="00265923"/>
    <w:rsid w:val="002C4EA8"/>
    <w:rsid w:val="0034612D"/>
    <w:rsid w:val="00374773"/>
    <w:rsid w:val="003F6C58"/>
    <w:rsid w:val="00426A7A"/>
    <w:rsid w:val="0049420F"/>
    <w:rsid w:val="004F07DC"/>
    <w:rsid w:val="005778A2"/>
    <w:rsid w:val="006149CD"/>
    <w:rsid w:val="00686215"/>
    <w:rsid w:val="006A5E18"/>
    <w:rsid w:val="00743808"/>
    <w:rsid w:val="00831F63"/>
    <w:rsid w:val="00844C75"/>
    <w:rsid w:val="00876CD5"/>
    <w:rsid w:val="008A07AE"/>
    <w:rsid w:val="008D77EA"/>
    <w:rsid w:val="009220EF"/>
    <w:rsid w:val="009A1DA1"/>
    <w:rsid w:val="00A71974"/>
    <w:rsid w:val="00B247C5"/>
    <w:rsid w:val="00C029F7"/>
    <w:rsid w:val="00C3134E"/>
    <w:rsid w:val="00E67C4C"/>
    <w:rsid w:val="00E80EEE"/>
    <w:rsid w:val="00E8380D"/>
    <w:rsid w:val="00EB5C43"/>
    <w:rsid w:val="00F3627B"/>
    <w:rsid w:val="00F60816"/>
    <w:rsid w:val="00F853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75F"/>
  </w:style>
  <w:style w:type="paragraph" w:styleId="Titre1">
    <w:name w:val="heading 1"/>
    <w:basedOn w:val="Normal"/>
    <w:next w:val="Normal"/>
    <w:rsid w:val="0021375F"/>
    <w:pPr>
      <w:keepNext/>
      <w:keepLines/>
      <w:spacing w:before="480" w:after="120"/>
      <w:outlineLvl w:val="0"/>
    </w:pPr>
    <w:rPr>
      <w:b/>
      <w:sz w:val="48"/>
      <w:szCs w:val="48"/>
    </w:rPr>
  </w:style>
  <w:style w:type="paragraph" w:styleId="Titre2">
    <w:name w:val="heading 2"/>
    <w:basedOn w:val="Normal"/>
    <w:next w:val="Normal"/>
    <w:rsid w:val="0021375F"/>
    <w:pPr>
      <w:keepNext/>
      <w:keepLines/>
      <w:spacing w:before="360" w:after="80"/>
      <w:outlineLvl w:val="1"/>
    </w:pPr>
    <w:rPr>
      <w:b/>
      <w:sz w:val="36"/>
      <w:szCs w:val="36"/>
    </w:rPr>
  </w:style>
  <w:style w:type="paragraph" w:styleId="Titre3">
    <w:name w:val="heading 3"/>
    <w:basedOn w:val="Normal"/>
    <w:next w:val="Normal"/>
    <w:rsid w:val="0021375F"/>
    <w:pPr>
      <w:keepNext/>
      <w:keepLines/>
      <w:spacing w:before="280" w:after="80"/>
      <w:outlineLvl w:val="2"/>
    </w:pPr>
    <w:rPr>
      <w:b/>
      <w:sz w:val="28"/>
      <w:szCs w:val="28"/>
    </w:rPr>
  </w:style>
  <w:style w:type="paragraph" w:styleId="Titre4">
    <w:name w:val="heading 4"/>
    <w:basedOn w:val="Normal"/>
    <w:next w:val="Normal"/>
    <w:rsid w:val="0021375F"/>
    <w:pPr>
      <w:keepNext/>
      <w:keepLines/>
      <w:spacing w:before="240" w:after="40"/>
      <w:outlineLvl w:val="3"/>
    </w:pPr>
    <w:rPr>
      <w:b/>
      <w:sz w:val="24"/>
      <w:szCs w:val="24"/>
    </w:rPr>
  </w:style>
  <w:style w:type="paragraph" w:styleId="Titre5">
    <w:name w:val="heading 5"/>
    <w:basedOn w:val="Normal"/>
    <w:next w:val="Normal"/>
    <w:rsid w:val="0021375F"/>
    <w:pPr>
      <w:keepNext/>
      <w:keepLines/>
      <w:spacing w:before="220" w:after="40"/>
      <w:outlineLvl w:val="4"/>
    </w:pPr>
    <w:rPr>
      <w:b/>
    </w:rPr>
  </w:style>
  <w:style w:type="paragraph" w:styleId="Titre6">
    <w:name w:val="heading 6"/>
    <w:basedOn w:val="Normal"/>
    <w:next w:val="Normal"/>
    <w:rsid w:val="0021375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21375F"/>
    <w:tblPr>
      <w:tblCellMar>
        <w:top w:w="0" w:type="dxa"/>
        <w:left w:w="0" w:type="dxa"/>
        <w:bottom w:w="0" w:type="dxa"/>
        <w:right w:w="0" w:type="dxa"/>
      </w:tblCellMar>
    </w:tblPr>
  </w:style>
  <w:style w:type="paragraph" w:styleId="Titre">
    <w:name w:val="Title"/>
    <w:basedOn w:val="Normal"/>
    <w:next w:val="Normal"/>
    <w:rsid w:val="0021375F"/>
    <w:pPr>
      <w:keepNext/>
      <w:keepLines/>
      <w:spacing w:before="480" w:after="120"/>
    </w:pPr>
    <w:rPr>
      <w:b/>
      <w:sz w:val="72"/>
      <w:szCs w:val="72"/>
    </w:rPr>
  </w:style>
  <w:style w:type="paragraph" w:styleId="Sous-titre">
    <w:name w:val="Subtitle"/>
    <w:basedOn w:val="Normal"/>
    <w:next w:val="Normal"/>
    <w:rsid w:val="0021375F"/>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D77EA"/>
    <w:rPr>
      <w:rFonts w:ascii="Tahoma" w:hAnsi="Tahoma" w:cs="Tahoma"/>
      <w:sz w:val="16"/>
      <w:szCs w:val="16"/>
    </w:rPr>
  </w:style>
  <w:style w:type="character" w:customStyle="1" w:styleId="TextedebullesCar">
    <w:name w:val="Texte de bulles Car"/>
    <w:basedOn w:val="Policepardfaut"/>
    <w:link w:val="Textedebulles"/>
    <w:uiPriority w:val="99"/>
    <w:semiHidden/>
    <w:rsid w:val="008D77EA"/>
    <w:rPr>
      <w:rFonts w:ascii="Tahoma" w:hAnsi="Tahoma" w:cs="Tahoma"/>
      <w:sz w:val="16"/>
      <w:szCs w:val="16"/>
    </w:rPr>
  </w:style>
  <w:style w:type="paragraph" w:styleId="En-tte">
    <w:name w:val="header"/>
    <w:basedOn w:val="Normal"/>
    <w:link w:val="En-tteCar"/>
    <w:uiPriority w:val="99"/>
    <w:semiHidden/>
    <w:unhideWhenUsed/>
    <w:rsid w:val="00257BAF"/>
    <w:pPr>
      <w:tabs>
        <w:tab w:val="center" w:pos="4536"/>
        <w:tab w:val="right" w:pos="9072"/>
      </w:tabs>
    </w:pPr>
  </w:style>
  <w:style w:type="character" w:customStyle="1" w:styleId="En-tteCar">
    <w:name w:val="En-tête Car"/>
    <w:basedOn w:val="Policepardfaut"/>
    <w:link w:val="En-tte"/>
    <w:uiPriority w:val="99"/>
    <w:semiHidden/>
    <w:rsid w:val="00257BAF"/>
  </w:style>
  <w:style w:type="paragraph" w:styleId="Paragraphedeliste">
    <w:name w:val="List Paragraph"/>
    <w:basedOn w:val="Normal"/>
    <w:uiPriority w:val="34"/>
    <w:qFormat/>
    <w:rsid w:val="001E3FD0"/>
    <w:pPr>
      <w:ind w:left="720"/>
    </w:pPr>
    <w:rPr>
      <w:rFonts w:ascii="Times New Roman" w:eastAsiaTheme="minorHAnsi" w:hAnsi="Times New Roman" w:cs="Times New Roman"/>
      <w:sz w:val="24"/>
      <w:szCs w:val="24"/>
    </w:rPr>
  </w:style>
  <w:style w:type="character" w:styleId="lev">
    <w:name w:val="Strong"/>
    <w:basedOn w:val="Policepardfaut"/>
    <w:uiPriority w:val="22"/>
    <w:qFormat/>
    <w:rsid w:val="001E3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D77EA"/>
    <w:rPr>
      <w:rFonts w:ascii="Tahoma" w:hAnsi="Tahoma" w:cs="Tahoma"/>
      <w:sz w:val="16"/>
      <w:szCs w:val="16"/>
    </w:rPr>
  </w:style>
  <w:style w:type="character" w:customStyle="1" w:styleId="TextedebullesCar">
    <w:name w:val="Texte de bulles Car"/>
    <w:basedOn w:val="Policepardfaut"/>
    <w:link w:val="Textedebulles"/>
    <w:uiPriority w:val="99"/>
    <w:semiHidden/>
    <w:rsid w:val="008D7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93827">
      <w:bodyDiv w:val="1"/>
      <w:marLeft w:val="0"/>
      <w:marRight w:val="0"/>
      <w:marTop w:val="0"/>
      <w:marBottom w:val="0"/>
      <w:divBdr>
        <w:top w:val="none" w:sz="0" w:space="0" w:color="auto"/>
        <w:left w:val="none" w:sz="0" w:space="0" w:color="auto"/>
        <w:bottom w:val="none" w:sz="0" w:space="0" w:color="auto"/>
        <w:right w:val="none" w:sz="0" w:space="0" w:color="auto"/>
      </w:divBdr>
    </w:div>
    <w:div w:id="167214686">
      <w:bodyDiv w:val="1"/>
      <w:marLeft w:val="0"/>
      <w:marRight w:val="0"/>
      <w:marTop w:val="0"/>
      <w:marBottom w:val="0"/>
      <w:divBdr>
        <w:top w:val="none" w:sz="0" w:space="0" w:color="auto"/>
        <w:left w:val="none" w:sz="0" w:space="0" w:color="auto"/>
        <w:bottom w:val="none" w:sz="0" w:space="0" w:color="auto"/>
        <w:right w:val="none" w:sz="0" w:space="0" w:color="auto"/>
      </w:divBdr>
    </w:div>
    <w:div w:id="395668874">
      <w:bodyDiv w:val="1"/>
      <w:marLeft w:val="0"/>
      <w:marRight w:val="0"/>
      <w:marTop w:val="0"/>
      <w:marBottom w:val="0"/>
      <w:divBdr>
        <w:top w:val="none" w:sz="0" w:space="0" w:color="auto"/>
        <w:left w:val="none" w:sz="0" w:space="0" w:color="auto"/>
        <w:bottom w:val="none" w:sz="0" w:space="0" w:color="auto"/>
        <w:right w:val="none" w:sz="0" w:space="0" w:color="auto"/>
      </w:divBdr>
    </w:div>
    <w:div w:id="711342395">
      <w:bodyDiv w:val="1"/>
      <w:marLeft w:val="0"/>
      <w:marRight w:val="0"/>
      <w:marTop w:val="0"/>
      <w:marBottom w:val="0"/>
      <w:divBdr>
        <w:top w:val="none" w:sz="0" w:space="0" w:color="auto"/>
        <w:left w:val="none" w:sz="0" w:space="0" w:color="auto"/>
        <w:bottom w:val="none" w:sz="0" w:space="0" w:color="auto"/>
        <w:right w:val="none" w:sz="0" w:space="0" w:color="auto"/>
      </w:divBdr>
    </w:div>
    <w:div w:id="990140771">
      <w:bodyDiv w:val="1"/>
      <w:marLeft w:val="0"/>
      <w:marRight w:val="0"/>
      <w:marTop w:val="0"/>
      <w:marBottom w:val="0"/>
      <w:divBdr>
        <w:top w:val="none" w:sz="0" w:space="0" w:color="auto"/>
        <w:left w:val="none" w:sz="0" w:space="0" w:color="auto"/>
        <w:bottom w:val="none" w:sz="0" w:space="0" w:color="auto"/>
        <w:right w:val="none" w:sz="0" w:space="0" w:color="auto"/>
      </w:divBdr>
    </w:div>
    <w:div w:id="1184397135">
      <w:bodyDiv w:val="1"/>
      <w:marLeft w:val="0"/>
      <w:marRight w:val="0"/>
      <w:marTop w:val="0"/>
      <w:marBottom w:val="0"/>
      <w:divBdr>
        <w:top w:val="none" w:sz="0" w:space="0" w:color="auto"/>
        <w:left w:val="none" w:sz="0" w:space="0" w:color="auto"/>
        <w:bottom w:val="none" w:sz="0" w:space="0" w:color="auto"/>
        <w:right w:val="none" w:sz="0" w:space="0" w:color="auto"/>
      </w:divBdr>
    </w:div>
    <w:div w:id="145413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Gleizes, Jérôme</dc:creator>
  <cp:lastModifiedBy>maintens</cp:lastModifiedBy>
  <cp:revision>5</cp:revision>
  <cp:lastPrinted>2018-11-06T09:27:00Z</cp:lastPrinted>
  <dcterms:created xsi:type="dcterms:W3CDTF">2018-11-27T10:14:00Z</dcterms:created>
  <dcterms:modified xsi:type="dcterms:W3CDTF">2018-11-27T10:17:00Z</dcterms:modified>
</cp:coreProperties>
</file>